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94E4"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Case Study # 2</w:t>
      </w:r>
    </w:p>
    <w:p w14:paraId="3502D735"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NURS 367 - DFB</w:t>
      </w:r>
    </w:p>
    <w:p w14:paraId="4906D7B5"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A 50-year-old man was admitted to the hospital with the diagnosis of chronic obstructive lung</w:t>
      </w:r>
    </w:p>
    <w:p w14:paraId="268E1139"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disease. On review of the chart, the nurse noted the patient is both hypoxic and has an elevated</w:t>
      </w:r>
    </w:p>
    <w:p w14:paraId="333782B6"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carbon dioxide level. When examining the patient, the nurse notes an increased respiratory effort</w:t>
      </w:r>
    </w:p>
    <w:p w14:paraId="739E5323"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and use of accessory muscles.</w:t>
      </w:r>
      <w:r w:rsidRPr="00273E79">
        <w:rPr>
          <w:rFonts w:ascii="Times New Roman" w:hAnsi="Times New Roman" w:cs="Times New Roman"/>
          <w:sz w:val="24"/>
          <w:szCs w:val="24"/>
        </w:rPr>
        <w:br/>
      </w:r>
    </w:p>
    <w:p w14:paraId="1BE84972"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1. What is compliance, resistance, and residual volume as it relates to COPD.</w:t>
      </w:r>
    </w:p>
    <w:p w14:paraId="39566B43"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2. In patients with chronic obstructive disease, there is a decreased surface area for</w:t>
      </w:r>
    </w:p>
    <w:p w14:paraId="435DC2CE"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diffusion. Explain how that will impact diffusion and how that relates to the hypoxia</w:t>
      </w:r>
    </w:p>
    <w:p w14:paraId="7F072E07"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and elevated carbon dioxide.</w:t>
      </w:r>
    </w:p>
    <w:p w14:paraId="517DB089"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3. Explain the difference between the function of the central and peripheral</w:t>
      </w:r>
    </w:p>
    <w:p w14:paraId="5DEA6A7C"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sz w:val="24"/>
          <w:szCs w:val="24"/>
        </w:rPr>
        <w:t>chemoreceptors.</w:t>
      </w:r>
      <w:r w:rsidRPr="00273E79">
        <w:rPr>
          <w:rFonts w:ascii="Times New Roman" w:hAnsi="Times New Roman" w:cs="Times New Roman"/>
          <w:sz w:val="24"/>
          <w:szCs w:val="24"/>
        </w:rPr>
        <w:br/>
      </w:r>
    </w:p>
    <w:p w14:paraId="0503F469" w14:textId="77777777" w:rsidR="00273E79" w:rsidRPr="00273E79" w:rsidRDefault="00273E79" w:rsidP="00273E79">
      <w:pPr>
        <w:spacing w:line="240" w:lineRule="auto"/>
        <w:rPr>
          <w:rFonts w:ascii="Times New Roman" w:hAnsi="Times New Roman" w:cs="Times New Roman"/>
          <w:b/>
          <w:bCs/>
          <w:sz w:val="24"/>
          <w:szCs w:val="24"/>
        </w:rPr>
      </w:pPr>
      <w:r w:rsidRPr="00273E79">
        <w:rPr>
          <w:rFonts w:ascii="Times New Roman" w:hAnsi="Times New Roman" w:cs="Times New Roman"/>
          <w:b/>
          <w:bCs/>
          <w:sz w:val="24"/>
          <w:szCs w:val="24"/>
        </w:rPr>
        <w:t>Case studies may be completed using bullet formatting or essay formatting. If using an</w:t>
      </w:r>
    </w:p>
    <w:p w14:paraId="03C42010" w14:textId="77777777" w:rsidR="00273E79" w:rsidRPr="00273E79" w:rsidRDefault="00273E79" w:rsidP="00273E79">
      <w:pPr>
        <w:spacing w:line="240" w:lineRule="auto"/>
        <w:rPr>
          <w:rFonts w:ascii="Times New Roman" w:hAnsi="Times New Roman" w:cs="Times New Roman"/>
          <w:b/>
          <w:bCs/>
          <w:sz w:val="24"/>
          <w:szCs w:val="24"/>
        </w:rPr>
      </w:pPr>
      <w:r w:rsidRPr="00273E79">
        <w:rPr>
          <w:rFonts w:ascii="Times New Roman" w:hAnsi="Times New Roman" w:cs="Times New Roman"/>
          <w:b/>
          <w:bCs/>
          <w:sz w:val="24"/>
          <w:szCs w:val="24"/>
        </w:rPr>
        <w:t>essay format APA is required, refer to course syllabus for required APA text and</w:t>
      </w:r>
    </w:p>
    <w:p w14:paraId="160EB6F8" w14:textId="77777777" w:rsidR="00273E79" w:rsidRPr="00273E79" w:rsidRDefault="00273E79" w:rsidP="00273E79">
      <w:pPr>
        <w:spacing w:line="240" w:lineRule="auto"/>
        <w:rPr>
          <w:rFonts w:ascii="Times New Roman" w:hAnsi="Times New Roman" w:cs="Times New Roman"/>
          <w:b/>
          <w:bCs/>
          <w:sz w:val="24"/>
          <w:szCs w:val="24"/>
        </w:rPr>
      </w:pPr>
      <w:r w:rsidRPr="00273E79">
        <w:rPr>
          <w:rFonts w:ascii="Times New Roman" w:hAnsi="Times New Roman" w:cs="Times New Roman"/>
          <w:b/>
          <w:bCs/>
          <w:sz w:val="24"/>
          <w:szCs w:val="24"/>
        </w:rPr>
        <w:t>edition. You may also include graphs, tables or charts to explain concepts or make</w:t>
      </w:r>
    </w:p>
    <w:p w14:paraId="4D8E0190" w14:textId="77777777" w:rsidR="00273E79" w:rsidRPr="00273E79" w:rsidRDefault="00273E79" w:rsidP="00273E79">
      <w:pPr>
        <w:spacing w:line="240" w:lineRule="auto"/>
        <w:rPr>
          <w:rFonts w:ascii="Times New Roman" w:hAnsi="Times New Roman" w:cs="Times New Roman"/>
          <w:sz w:val="24"/>
          <w:szCs w:val="24"/>
        </w:rPr>
      </w:pPr>
      <w:r w:rsidRPr="00273E79">
        <w:rPr>
          <w:rFonts w:ascii="Times New Roman" w:hAnsi="Times New Roman" w:cs="Times New Roman"/>
          <w:b/>
          <w:bCs/>
          <w:sz w:val="24"/>
          <w:szCs w:val="24"/>
        </w:rPr>
        <w:t>comparisons. Use the rubric below for the specific requirements for this case study.</w:t>
      </w:r>
      <w:r w:rsidRPr="00273E79">
        <w:rPr>
          <w:rFonts w:ascii="Times New Roman" w:hAnsi="Times New Roman" w:cs="Times New Roman"/>
          <w:sz w:val="24"/>
          <w:szCs w:val="24"/>
        </w:rPr>
        <w:br/>
      </w:r>
    </w:p>
    <w:p w14:paraId="5BDED75D" w14:textId="77777777" w:rsidR="00273E79" w:rsidRPr="00273E79" w:rsidRDefault="00273E79" w:rsidP="00273E79">
      <w:pPr>
        <w:spacing w:line="240" w:lineRule="auto"/>
        <w:rPr>
          <w:rFonts w:ascii="Times New Roman" w:hAnsi="Times New Roman" w:cs="Times New Roman"/>
          <w:b/>
          <w:bCs/>
          <w:sz w:val="24"/>
          <w:szCs w:val="24"/>
        </w:rPr>
      </w:pPr>
      <w:r w:rsidRPr="00273E79">
        <w:rPr>
          <w:rFonts w:ascii="Times New Roman" w:hAnsi="Times New Roman" w:cs="Times New Roman"/>
          <w:b/>
          <w:bCs/>
          <w:sz w:val="24"/>
          <w:szCs w:val="24"/>
        </w:rPr>
        <w:t>This case study is worth 75 points. Students must achieve a minimum grade of 58.5</w:t>
      </w:r>
    </w:p>
    <w:p w14:paraId="0EF8F3C3" w14:textId="77777777" w:rsidR="00273E79" w:rsidRPr="00273E79" w:rsidRDefault="00273E79" w:rsidP="00273E79">
      <w:pPr>
        <w:spacing w:line="240" w:lineRule="auto"/>
        <w:rPr>
          <w:rFonts w:ascii="Times New Roman" w:hAnsi="Times New Roman" w:cs="Times New Roman"/>
          <w:b/>
          <w:bCs/>
          <w:sz w:val="24"/>
          <w:szCs w:val="24"/>
        </w:rPr>
      </w:pPr>
      <w:r w:rsidRPr="00273E79">
        <w:rPr>
          <w:rFonts w:ascii="Times New Roman" w:hAnsi="Times New Roman" w:cs="Times New Roman"/>
          <w:b/>
          <w:bCs/>
          <w:sz w:val="24"/>
          <w:szCs w:val="24"/>
        </w:rPr>
        <w:t>points to achieve a passing grade of 78%. Students who receive a grade less than 78%</w:t>
      </w:r>
    </w:p>
    <w:p w14:paraId="7FAC45AB" w14:textId="77777777" w:rsidR="00273E79" w:rsidRPr="00273E79" w:rsidRDefault="00273E79" w:rsidP="00273E79">
      <w:pPr>
        <w:spacing w:line="240" w:lineRule="auto"/>
        <w:rPr>
          <w:rFonts w:ascii="Times New Roman" w:hAnsi="Times New Roman" w:cs="Times New Roman"/>
          <w:b/>
          <w:bCs/>
          <w:sz w:val="24"/>
          <w:szCs w:val="24"/>
        </w:rPr>
      </w:pPr>
      <w:r w:rsidRPr="00273E79">
        <w:rPr>
          <w:rFonts w:ascii="Times New Roman" w:hAnsi="Times New Roman" w:cs="Times New Roman"/>
          <w:b/>
          <w:bCs/>
          <w:sz w:val="24"/>
          <w:szCs w:val="24"/>
        </w:rPr>
        <w:t>are advised to meet with the course instructor to clarify content and relevance to the</w:t>
      </w:r>
    </w:p>
    <w:p w14:paraId="0EF9BC6B" w14:textId="77777777" w:rsidR="00772561" w:rsidRDefault="00273E79" w:rsidP="00273E79">
      <w:pPr>
        <w:spacing w:line="240" w:lineRule="auto"/>
        <w:rPr>
          <w:rFonts w:ascii="Times New Roman" w:hAnsi="Times New Roman" w:cs="Times New Roman"/>
          <w:b/>
          <w:bCs/>
          <w:sz w:val="24"/>
          <w:szCs w:val="24"/>
        </w:rPr>
      </w:pPr>
      <w:r w:rsidRPr="00273E79">
        <w:rPr>
          <w:rFonts w:ascii="Times New Roman" w:hAnsi="Times New Roman" w:cs="Times New Roman"/>
          <w:b/>
          <w:bCs/>
          <w:sz w:val="24"/>
          <w:szCs w:val="24"/>
        </w:rPr>
        <w:t>specific objectives in the above assignment.</w:t>
      </w:r>
    </w:p>
    <w:p w14:paraId="1DBDFBC3" w14:textId="77777777" w:rsidR="00772561" w:rsidRDefault="00772561" w:rsidP="00273E79">
      <w:pPr>
        <w:spacing w:line="240" w:lineRule="auto"/>
        <w:rPr>
          <w:rFonts w:ascii="Times New Roman" w:hAnsi="Times New Roman" w:cs="Times New Roman"/>
          <w:b/>
          <w:bCs/>
          <w:sz w:val="24"/>
          <w:szCs w:val="24"/>
        </w:rPr>
      </w:pPr>
    </w:p>
    <w:p w14:paraId="1C7025BC" w14:textId="77777777" w:rsidR="00570323" w:rsidRDefault="00570323" w:rsidP="00273E79">
      <w:pPr>
        <w:spacing w:line="240" w:lineRule="auto"/>
        <w:rPr>
          <w:rFonts w:ascii="Times New Roman" w:hAnsi="Times New Roman" w:cs="Times New Roman"/>
          <w:b/>
          <w:bCs/>
          <w:sz w:val="24"/>
          <w:szCs w:val="24"/>
        </w:rPr>
      </w:pPr>
    </w:p>
    <w:p w14:paraId="15645220" w14:textId="77777777" w:rsidR="00570323" w:rsidRDefault="00570323" w:rsidP="00273E79">
      <w:pPr>
        <w:spacing w:line="240" w:lineRule="auto"/>
        <w:rPr>
          <w:rFonts w:ascii="Times New Roman" w:hAnsi="Times New Roman" w:cs="Times New Roman"/>
          <w:b/>
          <w:bCs/>
          <w:sz w:val="24"/>
          <w:szCs w:val="24"/>
        </w:rPr>
      </w:pPr>
    </w:p>
    <w:p w14:paraId="44AF4B46" w14:textId="77777777" w:rsidR="00570323" w:rsidRDefault="00570323" w:rsidP="00273E79">
      <w:pPr>
        <w:spacing w:line="240" w:lineRule="auto"/>
        <w:rPr>
          <w:rFonts w:ascii="Times New Roman" w:hAnsi="Times New Roman" w:cs="Times New Roman"/>
          <w:b/>
          <w:bCs/>
          <w:sz w:val="24"/>
          <w:szCs w:val="24"/>
        </w:rPr>
      </w:pPr>
    </w:p>
    <w:p w14:paraId="13E7985F" w14:textId="77777777" w:rsidR="00570323" w:rsidRDefault="00570323" w:rsidP="00273E79">
      <w:pPr>
        <w:spacing w:line="240" w:lineRule="auto"/>
        <w:rPr>
          <w:rFonts w:ascii="Times New Roman" w:hAnsi="Times New Roman" w:cs="Times New Roman"/>
          <w:b/>
          <w:bCs/>
          <w:sz w:val="24"/>
          <w:szCs w:val="24"/>
        </w:rPr>
      </w:pPr>
    </w:p>
    <w:p w14:paraId="36CD231E" w14:textId="77777777" w:rsidR="00570323" w:rsidRDefault="00570323" w:rsidP="00273E79">
      <w:pPr>
        <w:spacing w:line="240" w:lineRule="auto"/>
        <w:rPr>
          <w:rFonts w:ascii="Times New Roman" w:hAnsi="Times New Roman" w:cs="Times New Roman"/>
          <w:b/>
          <w:bCs/>
          <w:sz w:val="24"/>
          <w:szCs w:val="24"/>
        </w:rPr>
      </w:pPr>
    </w:p>
    <w:p w14:paraId="76C90EFC" w14:textId="77777777" w:rsidR="00570323" w:rsidRDefault="00570323" w:rsidP="00273E79">
      <w:pPr>
        <w:spacing w:line="240" w:lineRule="auto"/>
        <w:rPr>
          <w:rFonts w:ascii="Times New Roman" w:hAnsi="Times New Roman" w:cs="Times New Roman"/>
          <w:b/>
          <w:bCs/>
          <w:sz w:val="24"/>
          <w:szCs w:val="24"/>
        </w:rPr>
      </w:pPr>
    </w:p>
    <w:p w14:paraId="1A50D8A1" w14:textId="77777777" w:rsidR="00570323" w:rsidRDefault="00570323" w:rsidP="00273E79">
      <w:pPr>
        <w:spacing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772561" w14:paraId="1CA38008" w14:textId="77777777" w:rsidTr="00772561">
        <w:tc>
          <w:tcPr>
            <w:tcW w:w="2337" w:type="dxa"/>
          </w:tcPr>
          <w:p w14:paraId="2A934E5D" w14:textId="77777777" w:rsidR="00772561" w:rsidRPr="00772561" w:rsidRDefault="00772561" w:rsidP="00273E79">
            <w:pPr>
              <w:rPr>
                <w:rFonts w:ascii="Times New Roman" w:hAnsi="Times New Roman" w:cs="Times New Roman"/>
                <w:b/>
                <w:bCs/>
                <w:sz w:val="24"/>
                <w:szCs w:val="24"/>
              </w:rPr>
            </w:pPr>
            <w:r w:rsidRPr="00772561">
              <w:rPr>
                <w:b/>
                <w:bCs/>
              </w:rPr>
              <w:lastRenderedPageBreak/>
              <w:t>Criteria</w:t>
            </w:r>
          </w:p>
        </w:tc>
        <w:tc>
          <w:tcPr>
            <w:tcW w:w="2337" w:type="dxa"/>
          </w:tcPr>
          <w:p w14:paraId="70321043" w14:textId="77777777" w:rsidR="00772561" w:rsidRDefault="00772561" w:rsidP="00273E79">
            <w:pPr>
              <w:rPr>
                <w:rFonts w:ascii="Times New Roman" w:hAnsi="Times New Roman" w:cs="Times New Roman"/>
                <w:b/>
                <w:bCs/>
                <w:sz w:val="24"/>
                <w:szCs w:val="24"/>
              </w:rPr>
            </w:pPr>
            <w:r w:rsidRPr="00772561">
              <w:rPr>
                <w:rFonts w:ascii="Times New Roman" w:hAnsi="Times New Roman" w:cs="Times New Roman"/>
                <w:b/>
                <w:bCs/>
                <w:sz w:val="24"/>
                <w:szCs w:val="24"/>
              </w:rPr>
              <w:t>Novice</w:t>
            </w:r>
          </w:p>
        </w:tc>
        <w:tc>
          <w:tcPr>
            <w:tcW w:w="2338" w:type="dxa"/>
          </w:tcPr>
          <w:p w14:paraId="4BA6C94F" w14:textId="77777777" w:rsidR="00772561" w:rsidRDefault="00772561" w:rsidP="00273E79">
            <w:pPr>
              <w:rPr>
                <w:rFonts w:ascii="Times New Roman" w:hAnsi="Times New Roman" w:cs="Times New Roman"/>
                <w:b/>
                <w:bCs/>
                <w:sz w:val="24"/>
                <w:szCs w:val="24"/>
              </w:rPr>
            </w:pPr>
            <w:r w:rsidRPr="00772561">
              <w:rPr>
                <w:rFonts w:ascii="Times New Roman" w:hAnsi="Times New Roman" w:cs="Times New Roman"/>
                <w:b/>
                <w:bCs/>
                <w:sz w:val="24"/>
                <w:szCs w:val="24"/>
              </w:rPr>
              <w:t>Developing</w:t>
            </w:r>
          </w:p>
        </w:tc>
        <w:tc>
          <w:tcPr>
            <w:tcW w:w="2338" w:type="dxa"/>
          </w:tcPr>
          <w:p w14:paraId="5885B5FD" w14:textId="77777777" w:rsidR="00772561" w:rsidRDefault="00772561" w:rsidP="00273E79">
            <w:pPr>
              <w:rPr>
                <w:rFonts w:ascii="Times New Roman" w:hAnsi="Times New Roman" w:cs="Times New Roman"/>
                <w:b/>
                <w:bCs/>
                <w:sz w:val="24"/>
                <w:szCs w:val="24"/>
              </w:rPr>
            </w:pPr>
            <w:r w:rsidRPr="00772561">
              <w:rPr>
                <w:rFonts w:ascii="Times New Roman" w:hAnsi="Times New Roman" w:cs="Times New Roman"/>
                <w:b/>
                <w:bCs/>
                <w:sz w:val="24"/>
                <w:szCs w:val="24"/>
              </w:rPr>
              <w:t>Emerging</w:t>
            </w:r>
          </w:p>
        </w:tc>
      </w:tr>
      <w:tr w:rsidR="00772561" w14:paraId="1F9063A7" w14:textId="77777777" w:rsidTr="00772561">
        <w:tc>
          <w:tcPr>
            <w:tcW w:w="2337" w:type="dxa"/>
          </w:tcPr>
          <w:p w14:paraId="47737392" w14:textId="77777777" w:rsidR="00772561" w:rsidRDefault="00772561" w:rsidP="00273E79">
            <w:pPr>
              <w:rPr>
                <w:rFonts w:ascii="Times New Roman" w:hAnsi="Times New Roman" w:cs="Times New Roman"/>
                <w:b/>
                <w:bCs/>
                <w:sz w:val="24"/>
                <w:szCs w:val="24"/>
              </w:rPr>
            </w:pPr>
            <w:r>
              <w:t>Defines compliance, resistance and residual volume related to the disease process of COPD</w:t>
            </w:r>
          </w:p>
        </w:tc>
        <w:tc>
          <w:tcPr>
            <w:tcW w:w="2337" w:type="dxa"/>
          </w:tcPr>
          <w:p w14:paraId="33257883" w14:textId="77777777" w:rsidR="00772561" w:rsidRDefault="00772561" w:rsidP="00273E79">
            <w:pPr>
              <w:rPr>
                <w:rFonts w:ascii="Times New Roman" w:hAnsi="Times New Roman" w:cs="Times New Roman"/>
                <w:b/>
                <w:bCs/>
                <w:sz w:val="24"/>
                <w:szCs w:val="24"/>
              </w:rPr>
            </w:pPr>
            <w:r>
              <w:t>Provides inaccurate or incomplete definitions of resistance, compliance and residual volume and inaccurate theoretical concepts to explain the relevance of these concepts to COPD</w:t>
            </w:r>
          </w:p>
        </w:tc>
        <w:tc>
          <w:tcPr>
            <w:tcW w:w="2338" w:type="dxa"/>
          </w:tcPr>
          <w:p w14:paraId="3F8D1694" w14:textId="77777777" w:rsidR="00772561" w:rsidRDefault="00772561" w:rsidP="00273E79">
            <w:pPr>
              <w:rPr>
                <w:rFonts w:ascii="Times New Roman" w:hAnsi="Times New Roman" w:cs="Times New Roman"/>
                <w:b/>
                <w:bCs/>
                <w:sz w:val="24"/>
                <w:szCs w:val="24"/>
              </w:rPr>
            </w:pPr>
            <w:r>
              <w:t>Provides limited definitions of resistance, compliance and residual volume. Does not utilizes theoretical concepts to explain the relevance to of these factors to COPD</w:t>
            </w:r>
          </w:p>
        </w:tc>
        <w:tc>
          <w:tcPr>
            <w:tcW w:w="2338" w:type="dxa"/>
          </w:tcPr>
          <w:p w14:paraId="22A7EF34" w14:textId="77777777" w:rsidR="00772561" w:rsidRDefault="00772561" w:rsidP="00273E79">
            <w:pPr>
              <w:rPr>
                <w:rFonts w:ascii="Times New Roman" w:hAnsi="Times New Roman" w:cs="Times New Roman"/>
                <w:b/>
                <w:bCs/>
                <w:sz w:val="24"/>
                <w:szCs w:val="24"/>
              </w:rPr>
            </w:pPr>
            <w:r>
              <w:t>Clearly defines resistance, compliance and residual volume and utilizes theoretical concepts from course content to discuss the relevance of these factors to COPD</w:t>
            </w:r>
          </w:p>
        </w:tc>
      </w:tr>
      <w:tr w:rsidR="00772561" w14:paraId="40CBE26A" w14:textId="77777777" w:rsidTr="00772561">
        <w:tc>
          <w:tcPr>
            <w:tcW w:w="2337" w:type="dxa"/>
          </w:tcPr>
          <w:p w14:paraId="014BB545" w14:textId="77777777" w:rsidR="00772561" w:rsidRDefault="00772561" w:rsidP="00273E79">
            <w:pPr>
              <w:rPr>
                <w:rFonts w:ascii="Times New Roman" w:hAnsi="Times New Roman" w:cs="Times New Roman"/>
                <w:b/>
                <w:bCs/>
                <w:sz w:val="24"/>
                <w:szCs w:val="24"/>
              </w:rPr>
            </w:pPr>
            <w:r>
              <w:t>Explain the relationship between decreased surface area, diffusion and the impact on hypoxia and elevated CO2 levels</w:t>
            </w:r>
          </w:p>
        </w:tc>
        <w:tc>
          <w:tcPr>
            <w:tcW w:w="2337" w:type="dxa"/>
          </w:tcPr>
          <w:p w14:paraId="5075C300" w14:textId="77777777" w:rsidR="00772561" w:rsidRDefault="00772561" w:rsidP="00273E79">
            <w:pPr>
              <w:rPr>
                <w:rFonts w:ascii="Times New Roman" w:hAnsi="Times New Roman" w:cs="Times New Roman"/>
                <w:b/>
                <w:bCs/>
                <w:sz w:val="24"/>
                <w:szCs w:val="24"/>
              </w:rPr>
            </w:pPr>
            <w:r>
              <w:t>Provides inaccurate or incomplete definition of decreased surface area. Does not make connections between decrease surface area, hypoxia and elevated CO2 levels. Provides minimal evidence of theoretical concepts from course content</w:t>
            </w:r>
          </w:p>
        </w:tc>
        <w:tc>
          <w:tcPr>
            <w:tcW w:w="2338" w:type="dxa"/>
          </w:tcPr>
          <w:p w14:paraId="50C6B3E9" w14:textId="77777777" w:rsidR="00772561" w:rsidRDefault="00772561" w:rsidP="00273E79">
            <w:pPr>
              <w:rPr>
                <w:rFonts w:ascii="Times New Roman" w:hAnsi="Times New Roman" w:cs="Times New Roman"/>
                <w:b/>
                <w:bCs/>
                <w:sz w:val="24"/>
                <w:szCs w:val="24"/>
              </w:rPr>
            </w:pPr>
            <w:r>
              <w:t>Provides a definition of decreased surface area, explains how this relates to hypoxia and elevated CO2 using theoretical concepts from course content</w:t>
            </w:r>
          </w:p>
        </w:tc>
        <w:tc>
          <w:tcPr>
            <w:tcW w:w="2338" w:type="dxa"/>
          </w:tcPr>
          <w:p w14:paraId="71F0DFF0" w14:textId="77777777" w:rsidR="00772561" w:rsidRDefault="00772561" w:rsidP="00273E79">
            <w:pPr>
              <w:rPr>
                <w:rFonts w:ascii="Times New Roman" w:hAnsi="Times New Roman" w:cs="Times New Roman"/>
                <w:b/>
                <w:bCs/>
                <w:sz w:val="24"/>
                <w:szCs w:val="24"/>
              </w:rPr>
            </w:pPr>
            <w:r>
              <w:t>Provides detailed explanation of decreased surface areas impact on diffusion and its relationship to hypoxia and elevated CO2 using theoretical concepts from course content</w:t>
            </w:r>
          </w:p>
        </w:tc>
      </w:tr>
      <w:tr w:rsidR="00772561" w14:paraId="40D968E4" w14:textId="77777777" w:rsidTr="00772561">
        <w:tc>
          <w:tcPr>
            <w:tcW w:w="2337" w:type="dxa"/>
          </w:tcPr>
          <w:p w14:paraId="68B9C975" w14:textId="77777777" w:rsidR="00772561" w:rsidRDefault="00772561" w:rsidP="00273E79">
            <w:pPr>
              <w:rPr>
                <w:rFonts w:ascii="Times New Roman" w:hAnsi="Times New Roman" w:cs="Times New Roman"/>
                <w:b/>
                <w:bCs/>
                <w:sz w:val="24"/>
                <w:szCs w:val="24"/>
              </w:rPr>
            </w:pPr>
            <w:r>
              <w:t>Explains the difference between central and peripheral chemoreceptor function</w:t>
            </w:r>
          </w:p>
        </w:tc>
        <w:tc>
          <w:tcPr>
            <w:tcW w:w="2337" w:type="dxa"/>
          </w:tcPr>
          <w:p w14:paraId="3A727C40" w14:textId="77777777" w:rsidR="00772561" w:rsidRDefault="00772561" w:rsidP="00273E79">
            <w:pPr>
              <w:rPr>
                <w:rFonts w:ascii="Times New Roman" w:hAnsi="Times New Roman" w:cs="Times New Roman"/>
                <w:b/>
                <w:bCs/>
                <w:sz w:val="24"/>
                <w:szCs w:val="24"/>
              </w:rPr>
            </w:pPr>
            <w:r>
              <w:t>Provides limited definitions of central and peripheral chemoreceptors. Does not differentiate between the two, limited use of supportive evidence from course content</w:t>
            </w:r>
          </w:p>
        </w:tc>
        <w:tc>
          <w:tcPr>
            <w:tcW w:w="2338" w:type="dxa"/>
          </w:tcPr>
          <w:p w14:paraId="5515688F" w14:textId="77777777" w:rsidR="00772561" w:rsidRDefault="00772561" w:rsidP="00273E79">
            <w:pPr>
              <w:rPr>
                <w:rFonts w:ascii="Times New Roman" w:hAnsi="Times New Roman" w:cs="Times New Roman"/>
                <w:b/>
                <w:bCs/>
                <w:sz w:val="24"/>
                <w:szCs w:val="24"/>
              </w:rPr>
            </w:pPr>
            <w:r>
              <w:t>Defines central and peripheral chemoreceptor function and compares both function</w:t>
            </w:r>
            <w:r w:rsidR="00570323">
              <w:t>s</w:t>
            </w:r>
            <w:r>
              <w:t xml:space="preserve"> using supportive evidence from course content</w:t>
            </w:r>
          </w:p>
        </w:tc>
        <w:tc>
          <w:tcPr>
            <w:tcW w:w="2338" w:type="dxa"/>
          </w:tcPr>
          <w:p w14:paraId="31591077" w14:textId="77777777" w:rsidR="00772561" w:rsidRDefault="00772561" w:rsidP="00273E79">
            <w:pPr>
              <w:rPr>
                <w:rFonts w:ascii="Times New Roman" w:hAnsi="Times New Roman" w:cs="Times New Roman"/>
                <w:b/>
                <w:bCs/>
                <w:sz w:val="24"/>
                <w:szCs w:val="24"/>
              </w:rPr>
            </w:pPr>
            <w:r>
              <w:t>Clearly defines and differentiates between central and peripheral chemoreceptor function using theoretical concepts from course conten</w:t>
            </w:r>
            <w:r w:rsidR="00570323">
              <w:t>t</w:t>
            </w:r>
          </w:p>
        </w:tc>
      </w:tr>
    </w:tbl>
    <w:p w14:paraId="6F99CD7D" w14:textId="77777777" w:rsidR="00772561" w:rsidRPr="00273E79" w:rsidRDefault="00772561" w:rsidP="00273E79">
      <w:pPr>
        <w:spacing w:line="240" w:lineRule="auto"/>
        <w:rPr>
          <w:rFonts w:ascii="Times New Roman" w:hAnsi="Times New Roman" w:cs="Times New Roman"/>
          <w:b/>
          <w:bCs/>
          <w:sz w:val="24"/>
          <w:szCs w:val="24"/>
        </w:rPr>
      </w:pPr>
    </w:p>
    <w:sectPr w:rsidR="00772561" w:rsidRPr="00273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9"/>
    <w:rsid w:val="00273E79"/>
    <w:rsid w:val="00570323"/>
    <w:rsid w:val="00772561"/>
    <w:rsid w:val="008A3558"/>
    <w:rsid w:val="00ED5B12"/>
    <w:rsid w:val="00FC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B852"/>
  <w15:chartTrackingRefBased/>
  <w15:docId w15:val="{37322FA6-3A39-4F1A-9A90-B5529F6C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Shondel A./Anesthesiology-Critical Care</dc:creator>
  <cp:keywords/>
  <dc:description/>
  <cp:lastModifiedBy>nicole D</cp:lastModifiedBy>
  <cp:revision>2</cp:revision>
  <dcterms:created xsi:type="dcterms:W3CDTF">2021-07-23T15:12:00Z</dcterms:created>
  <dcterms:modified xsi:type="dcterms:W3CDTF">2021-07-23T15:12:00Z</dcterms:modified>
</cp:coreProperties>
</file>